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山东省科学技术厅关于组织开展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2020年山东省技术创新中心建设工作的通知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left"/>
        <w:textAlignment w:val="auto"/>
        <w:outlineLvl w:val="9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各市科技局，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省直有关部门，各</w:t>
      </w:r>
      <w:r>
        <w:rPr>
          <w:rFonts w:hint="eastAsia" w:ascii="仿宋_GB2312" w:eastAsia="仿宋_GB2312"/>
          <w:sz w:val="32"/>
          <w:szCs w:val="32"/>
          <w:highlight w:val="none"/>
        </w:rPr>
        <w:t>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省技术创新中心是我省技术创新体系的重要组成部分，是促进产学研协同创新，推动重大基础研究成果产业化，引领产业高质量发展的重要创新载体。为加快推进山东省技术创新中心建设，完善科技创新体系，提升关键领域技术创新供给能力，支撑创新型省份建设和新旧动能转换，根据《关于推进国家技术创新中心建设的总体方案（暂行）》《山东省技术创新中心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规划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《山东省技术创新中心管理办法》等文件精神，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新建一批省技术创新中心。有关事项通知如下：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sz w:val="32"/>
          <w:szCs w:val="32"/>
          <w:highlight w:val="none"/>
        </w:rPr>
        <w:t>一、</w:t>
      </w:r>
      <w:r>
        <w:rPr>
          <w:rFonts w:hint="eastAsia" w:ascii="黑体" w:hAnsi="黑体" w:eastAsia="黑体" w:cs="仿宋_GB2312"/>
          <w:sz w:val="32"/>
          <w:szCs w:val="32"/>
          <w:highlight w:val="none"/>
          <w:lang w:val="en-US" w:eastAsia="zh-CN"/>
        </w:rPr>
        <w:t>建设主体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省技术创新中心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围绕产业创新发展需求，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组织开展产业重大关键共性技术和前沿技术研发，着力解决关键核心技术、重大装备及关键零部件受制于人的问题，产学研协同推动科技成果转移转化与产业化，为支撑产业向中高端迈进、实现高质量发展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提供支撑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引领。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省技术创新中心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建设主体须为创新能力突出、创新水平位居全省前列的行业龙头企业或高等学校、科研院所、新型研发机构。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优先支持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企业牵头联合高等学校、科研院所、新型研发机构以独立法人实体组建省技术创新中心。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sz w:val="32"/>
          <w:szCs w:val="32"/>
          <w:highlight w:val="none"/>
        </w:rPr>
        <w:t>二、建设领域</w:t>
      </w:r>
      <w:r>
        <w:rPr>
          <w:rFonts w:hint="eastAsia" w:ascii="黑体" w:hAnsi="黑体" w:eastAsia="黑体" w:cs="仿宋_GB2312"/>
          <w:sz w:val="32"/>
          <w:szCs w:val="32"/>
          <w:highlight w:val="none"/>
          <w:lang w:val="en-US" w:eastAsia="zh-CN"/>
        </w:rPr>
        <w:t>及方向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Hlk55934932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面向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世界科技前沿、面向经济主战场、面向国家重大需求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面向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人民生命健康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聚焦我省优势支柱产业、战略新兴产业和重点发展领域，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优先在新兴、急需、特色产业领域布局建设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技术创新中心，注重培育具备冲击国家级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创新基地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实力的技术创新中心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，打造区域技术创新高地。2020年，重点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新一代信息技术、高端装备、新能源、新材料、现代海洋、医养健康、高端化工、现代高效农业、生物技术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等领域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的20个方向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布局建设（见附件1）。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 w:cs="仿宋_GB2312"/>
          <w:sz w:val="32"/>
          <w:szCs w:val="32"/>
          <w:highlight w:val="none"/>
        </w:rPr>
        <w:t>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（一）申报的省技术创新中心须符合建设领域及方向要求；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（二）申报建设省技术创新中心须满足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《山东省技术创新中心管理办法》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和《山东省技术创新中心建设标准》等相关条件要求。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仿宋_GB2312"/>
          <w:sz w:val="32"/>
          <w:szCs w:val="32"/>
          <w:highlight w:val="none"/>
        </w:rPr>
        <w:t>、推荐方式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各设区市科技局和省直有关部门作为主管部门择优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推荐。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请各主管部门组织有关单位编制省技术创新中心建设方案（编写提纲见附件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加盖公章后，向省科技厅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行文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每个主管部门推荐数量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不得超过5个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黑体" w:hAnsi="黑体" w:eastAsia="黑体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 w:cs="仿宋_GB2312"/>
          <w:sz w:val="32"/>
          <w:szCs w:val="32"/>
          <w:highlight w:val="none"/>
        </w:rPr>
        <w:t>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申报材料包括：建设方案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胶装成册，书脊处注明依托单位、拟建设技术创新中心名称、领域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方向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，一式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汇总表（附件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推荐函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材料纸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省科技厅资源配置与管理处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电子版材料发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邮箱kjtzpc@shandong.cn。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申报截止时间2020年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日下午5:00，逾期不予受理。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联系人：张国良 0531-66777380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邮寄地址：济南市高新区舜华路607号 邮编：250010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2020年省技术创新中心建设领域及方向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山东省技术创新中心建设方案编写提纲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关于新建山东省技术创新中心的推荐意见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山东省技术创新中心推荐汇总表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5.山东省技术创新中心建设标准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336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山东省科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学技术厅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336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BA"/>
    <w:rsid w:val="00026367"/>
    <w:rsid w:val="000A1EA5"/>
    <w:rsid w:val="000E1BBA"/>
    <w:rsid w:val="00111C6B"/>
    <w:rsid w:val="00112CC7"/>
    <w:rsid w:val="00183579"/>
    <w:rsid w:val="001E42C7"/>
    <w:rsid w:val="005A0BBB"/>
    <w:rsid w:val="00654653"/>
    <w:rsid w:val="0067021F"/>
    <w:rsid w:val="006F1AAC"/>
    <w:rsid w:val="00791216"/>
    <w:rsid w:val="00811F54"/>
    <w:rsid w:val="00856D55"/>
    <w:rsid w:val="008E29C8"/>
    <w:rsid w:val="009969B1"/>
    <w:rsid w:val="00A32BFE"/>
    <w:rsid w:val="00A34FD1"/>
    <w:rsid w:val="00B3622A"/>
    <w:rsid w:val="00B47162"/>
    <w:rsid w:val="00B52D9D"/>
    <w:rsid w:val="00C2754A"/>
    <w:rsid w:val="00C50235"/>
    <w:rsid w:val="00C57664"/>
    <w:rsid w:val="00C77225"/>
    <w:rsid w:val="07C701ED"/>
    <w:rsid w:val="09850D0C"/>
    <w:rsid w:val="0D773B68"/>
    <w:rsid w:val="16DE2660"/>
    <w:rsid w:val="1E5A00A7"/>
    <w:rsid w:val="221D7E9A"/>
    <w:rsid w:val="29E07F89"/>
    <w:rsid w:val="2A097165"/>
    <w:rsid w:val="3CFA3B47"/>
    <w:rsid w:val="3E350686"/>
    <w:rsid w:val="43CC5C20"/>
    <w:rsid w:val="4FE758ED"/>
    <w:rsid w:val="50B2001D"/>
    <w:rsid w:val="60E104BF"/>
    <w:rsid w:val="61EE2BDE"/>
    <w:rsid w:val="6C687152"/>
    <w:rsid w:val="6DA23614"/>
    <w:rsid w:val="71571D64"/>
    <w:rsid w:val="73F54A05"/>
    <w:rsid w:val="742939C4"/>
    <w:rsid w:val="7CBD2C01"/>
    <w:rsid w:val="7EFC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Calibri"/>
      <w:kern w:val="0"/>
      <w:sz w:val="24"/>
      <w:szCs w:val="24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unhideWhenUsed/>
    <w:qFormat/>
    <w:uiPriority w:val="99"/>
    <w:rPr>
      <w:color w:val="605E5C"/>
      <w:shd w:val="clear" w:color="auto" w:fill="E1DFDD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269</Words>
  <Characters>1534</Characters>
  <Lines>12</Lines>
  <Paragraphs>3</Paragraphs>
  <TotalTime>9</TotalTime>
  <ScaleCrop>false</ScaleCrop>
  <LinksUpToDate>false</LinksUpToDate>
  <CharactersWithSpaces>1800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2020-10-09T01:59:00Z</dcterms:created>
  <dc:creator>China</dc:creator>
  <cp:lastModifiedBy>上善若水</cp:lastModifiedBy>
  <cp:lastPrinted>2020-11-19T01:58:00Z</cp:lastPrinted>
  <dcterms:modified xsi:type="dcterms:W3CDTF">2020-11-19T07:49:41Z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