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CF68" w14:textId="77777777" w:rsidR="00AA2A0A" w:rsidRDefault="00AA2A0A" w:rsidP="00AA2A0A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B8B8AF1" w14:textId="77777777" w:rsidR="00AA2A0A" w:rsidRDefault="00AA2A0A" w:rsidP="00AA2A0A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典型案例参考模板</w:t>
      </w:r>
    </w:p>
    <w:p w14:paraId="335E284D" w14:textId="77777777" w:rsidR="00AA2A0A" w:rsidRDefault="00AA2A0A" w:rsidP="00AA2A0A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3E3CE96A" w14:textId="77777777" w:rsidR="00AA2A0A" w:rsidRDefault="00AA2A0A" w:rsidP="00AA2A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一、基本情况介绍。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单位基本情况，包括性质、规模等；科技成果分类评价情况。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二、主要做法。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围绕典型案例主题，详细阐述主要做法、工作举措、创新方法等。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三、主要成效。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针对典型案例主题，介绍相关措施举措在推动科技成果转化应用、人才评价、职称评审、机构评估、人才培养等方面的积极作用。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四、经验启示。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结合本单位开展科技成果分类评价实际，提炼推动科技成果分类评价的经验，并提出相关建议。</w:t>
      </w:r>
      <w:r>
        <w:rPr>
          <w:rFonts w:ascii="仿宋_GB2312" w:eastAsia="仿宋_GB2312" w:hAnsi="仿宋_GB2312" w:cs="仿宋_GB2312" w:hint="eastAsia"/>
        </w:rPr>
        <w:br/>
      </w:r>
      <w:r>
        <w:rPr>
          <w:rFonts w:ascii="黑体" w:eastAsia="黑体" w:hAnsi="黑体" w:cs="黑体" w:hint="eastAsia"/>
          <w:sz w:val="32"/>
          <w:szCs w:val="32"/>
        </w:rPr>
        <w:t xml:space="preserve">    五、参考示例：</w:t>
      </w:r>
      <w:r>
        <w:rPr>
          <w:rFonts w:hint="eastAsia"/>
        </w:rPr>
        <w:br/>
        <w:t xml:space="preserve">         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“将科技成果转化业绩纳入职称评审指标”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把科技成果转化绩效作为核心要求，纳入到高等院校、科研机构、国有企业创新能力评价，进一步提升高校院所和科研人员转化科技成果的积极性、主动性。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</w:t>
      </w: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案例：</w:t>
      </w:r>
      <w:r>
        <w:rPr>
          <w:rFonts w:ascii="仿宋_GB2312" w:eastAsia="仿宋_GB2312" w:hAnsi="仿宋_GB2312" w:cs="仿宋_GB2312" w:hint="eastAsia"/>
          <w:sz w:val="32"/>
          <w:szCs w:val="32"/>
        </w:rPr>
        <w:t>某高校为提升科研人员科技成果转化的积极性和主动性，将科技成果转化业绩作为科研人员破格晋升职称的重要依据。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该校某老师积极组织团队开展科研攻关，解决了如何在高效率、低成本且满足产品性能指标的条件下，加工制造出不同规格和型号工业机器人用 RV 减速器的技术难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题，打破了国外的技术垄断，并转让给北京某公司，投资建厂后，实现批量生产。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多年的研发过程中，该老师把工作重点放在工程技术攻关上，而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非发表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术论文，学校充分考虑该老师在科技成果转化工作中取得的突出业绩，不以论文、奖项等指标为标准，重点考察该老师通过科技成果转化创造的产值、利润等经济效益和吸纳就业、节约资源、保护环境等社会效益，以及为国家工业机器人产业发展带来的重要影响，最终通过专业技术职称评审合规程序，将该老师破格晋升为教授职称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 继该老师后，越来越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多科研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人员通过技术转化工作取得成绩、获得职称晋升，在该高校形成了鲜明的政策导向和良好的示范效应，有力推动了全校科技成果转化工作。</w:t>
      </w:r>
    </w:p>
    <w:p w14:paraId="41D3605F" w14:textId="77777777" w:rsidR="00AA2A0A" w:rsidRDefault="00AA2A0A" w:rsidP="00AA2A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C71257" w14:textId="77777777" w:rsidR="00146D7A" w:rsidRPr="00AA2A0A" w:rsidRDefault="00146D7A"/>
    <w:sectPr w:rsidR="00146D7A" w:rsidRPr="00AA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A"/>
    <w:rsid w:val="00146D7A"/>
    <w:rsid w:val="00AA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8B78"/>
  <w15:chartTrackingRefBased/>
  <w15:docId w15:val="{A09DE913-4E48-43DE-9F9C-DF4A3FF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娟娟</dc:creator>
  <cp:keywords/>
  <dc:description/>
  <cp:lastModifiedBy>刘 娟娟</cp:lastModifiedBy>
  <cp:revision>1</cp:revision>
  <dcterms:created xsi:type="dcterms:W3CDTF">2022-07-07T07:40:00Z</dcterms:created>
  <dcterms:modified xsi:type="dcterms:W3CDTF">2022-07-07T07:43:00Z</dcterms:modified>
</cp:coreProperties>
</file>